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42B1EF4"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4330D0">
        <w:rPr>
          <w:bCs/>
          <w:noProof w:val="0"/>
          <w:sz w:val="24"/>
          <w:szCs w:val="24"/>
        </w:rPr>
        <w:t>01253</w:t>
      </w:r>
    </w:p>
    <w:p w14:paraId="231362B2" w14:textId="069CBC1B"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CB2216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7126">
        <w:rPr>
          <w:rFonts w:cs="Arial"/>
          <w:b/>
          <w:bCs/>
          <w:sz w:val="24"/>
          <w:lang w:eastAsia="ja-JP"/>
        </w:rPr>
        <w:t>10.3.1.2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D7E663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7126">
        <w:rPr>
          <w:rFonts w:ascii="Arial" w:hAnsi="Arial" w:cs="Arial"/>
          <w:b/>
          <w:bCs/>
          <w:sz w:val="24"/>
        </w:rPr>
        <w:t>Discussion on reserved values</w:t>
      </w:r>
      <w:r w:rsidR="00A02BA6">
        <w:rPr>
          <w:rFonts w:ascii="Arial" w:hAnsi="Arial" w:cs="Arial"/>
          <w:b/>
          <w:bCs/>
          <w:sz w:val="24"/>
        </w:rPr>
        <w:t xml:space="preserve"> with backoff</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656AB1C" w:rsidR="00CD4C7B" w:rsidRPr="006E13D1" w:rsidRDefault="00177126" w:rsidP="00CD4C7B">
      <w:r>
        <w:t>This contribution points out an issue with current MAC subheader for backoff indicator as the reserved values defined in neither of the MAC subheader or the table for backoff values can be used in the future.</w:t>
      </w:r>
    </w:p>
    <w:p w14:paraId="127ACA6D" w14:textId="632188C4" w:rsidR="00CD4C7B" w:rsidRDefault="00CD4C7B" w:rsidP="00CD4C7B">
      <w:pPr>
        <w:pStyle w:val="Heading1"/>
      </w:pPr>
      <w:r w:rsidRPr="006E13D1">
        <w:t>2</w:t>
      </w:r>
      <w:r w:rsidRPr="006E13D1">
        <w:tab/>
      </w:r>
      <w:r w:rsidR="00177126">
        <w:t>Discussion</w:t>
      </w:r>
    </w:p>
    <w:p w14:paraId="1888ACA9" w14:textId="16C1D5B3" w:rsidR="00177126" w:rsidRDefault="00177126" w:rsidP="00177126">
      <w:r>
        <w:t>In RAN2#100 meeting, it was agreed that the 0 ms value is removed from the table of backoff values since the use case wasn’t immediately identified online during the discussions:</w:t>
      </w:r>
    </w:p>
    <w:p w14:paraId="27ABEC40" w14:textId="77777777" w:rsidR="00177126" w:rsidRPr="00177126" w:rsidRDefault="00E60D38" w:rsidP="00177126">
      <w:pPr>
        <w:pStyle w:val="Doc-title"/>
        <w:ind w:left="1543"/>
        <w:rPr>
          <w:i/>
        </w:rPr>
      </w:pPr>
      <w:hyperlink r:id="rId12" w:history="1">
        <w:r w:rsidR="00177126" w:rsidRPr="00177126">
          <w:rPr>
            <w:rStyle w:val="Hyperlink"/>
            <w:i/>
          </w:rPr>
          <w:t>R2-1712830</w:t>
        </w:r>
      </w:hyperlink>
      <w:r w:rsidR="00177126" w:rsidRPr="00177126">
        <w:rPr>
          <w:i/>
        </w:rPr>
        <w:tab/>
        <w:t>BI value and UE Contention Resolution Identity</w:t>
      </w:r>
      <w:r w:rsidR="00177126" w:rsidRPr="00177126">
        <w:rPr>
          <w:i/>
        </w:rPr>
        <w:tab/>
        <w:t>vivo</w:t>
      </w:r>
      <w:r w:rsidR="00177126" w:rsidRPr="00177126">
        <w:rPr>
          <w:i/>
        </w:rPr>
        <w:tab/>
        <w:t>discussion</w:t>
      </w:r>
    </w:p>
    <w:p w14:paraId="0993211B" w14:textId="77777777" w:rsidR="00177126" w:rsidRPr="00177126" w:rsidRDefault="00177126" w:rsidP="00177126">
      <w:pPr>
        <w:pStyle w:val="Doc-text2"/>
        <w:ind w:left="1906"/>
        <w:rPr>
          <w:i/>
        </w:rPr>
      </w:pPr>
      <w:r w:rsidRPr="00177126">
        <w:rPr>
          <w:i/>
        </w:rPr>
        <w:t xml:space="preserve">Proposal 1: The Backoff Indicator subheader in LTE is reused and reserved Backoff Parameter values can be defined as 1200ms, 1600ms and 2000ms to meet various services (e.g. </w:t>
      </w:r>
      <w:proofErr w:type="spellStart"/>
      <w:r w:rsidRPr="00177126">
        <w:rPr>
          <w:i/>
        </w:rPr>
        <w:t>eMBB</w:t>
      </w:r>
      <w:proofErr w:type="spellEnd"/>
      <w:r w:rsidRPr="00177126">
        <w:rPr>
          <w:i/>
        </w:rPr>
        <w:t>, URLLC) in NR.</w:t>
      </w:r>
    </w:p>
    <w:p w14:paraId="6C69B1B8" w14:textId="77777777" w:rsidR="00177126" w:rsidRPr="00177126" w:rsidRDefault="00177126" w:rsidP="00177126">
      <w:pPr>
        <w:pStyle w:val="Doc-text2"/>
        <w:ind w:left="1906"/>
        <w:rPr>
          <w:i/>
        </w:rPr>
      </w:pPr>
      <w:r w:rsidRPr="00177126">
        <w:rPr>
          <w:i/>
        </w:rPr>
        <w:t>-</w:t>
      </w:r>
      <w:r w:rsidRPr="00177126">
        <w:rPr>
          <w:i/>
        </w:rPr>
        <w:tab/>
        <w:t xml:space="preserve">Ericsson and Samsung think that the 0ms value is not useful.  Nokia thinks that we have zero in LTE and </w:t>
      </w:r>
      <w:proofErr w:type="spellStart"/>
      <w:r w:rsidRPr="00177126">
        <w:rPr>
          <w:i/>
        </w:rPr>
        <w:t>NBIoT</w:t>
      </w:r>
      <w:proofErr w:type="spellEnd"/>
      <w:r w:rsidRPr="00177126">
        <w:rPr>
          <w:i/>
        </w:rPr>
        <w:t xml:space="preserve"> and we shouldn’t remove it.  </w:t>
      </w:r>
    </w:p>
    <w:p w14:paraId="2DD3C06E" w14:textId="77777777" w:rsidR="00177126" w:rsidRPr="00177126" w:rsidRDefault="00177126" w:rsidP="00177126">
      <w:pPr>
        <w:pStyle w:val="Doc-text2"/>
        <w:ind w:left="1906"/>
        <w:rPr>
          <w:i/>
        </w:rPr>
      </w:pPr>
      <w:r w:rsidRPr="00177126">
        <w:rPr>
          <w:i/>
        </w:rPr>
        <w:t>-</w:t>
      </w:r>
      <w:r w:rsidRPr="00177126">
        <w:rPr>
          <w:i/>
        </w:rPr>
        <w:tab/>
        <w:t xml:space="preserve">Qualcomm thinks the zero values is still important. Ericsson thinks that you can set it to zero by not including the BI.  </w:t>
      </w:r>
    </w:p>
    <w:p w14:paraId="2F89F4AF" w14:textId="77777777" w:rsidR="00177126" w:rsidRPr="00177126" w:rsidRDefault="00177126" w:rsidP="00177126">
      <w:pPr>
        <w:pStyle w:val="Doc-text2"/>
        <w:ind w:left="1906"/>
        <w:rPr>
          <w:i/>
        </w:rPr>
      </w:pPr>
      <w:r w:rsidRPr="00177126">
        <w:rPr>
          <w:i/>
        </w:rPr>
        <w:t>-</w:t>
      </w:r>
      <w:r w:rsidRPr="00177126">
        <w:rPr>
          <w:i/>
        </w:rPr>
        <w:tab/>
        <w:t xml:space="preserve">Samsung thinks that we should </w:t>
      </w:r>
      <w:proofErr w:type="gramStart"/>
      <w:r w:rsidRPr="00177126">
        <w:rPr>
          <w:i/>
        </w:rPr>
        <w:t>still keep</w:t>
      </w:r>
      <w:proofErr w:type="gramEnd"/>
      <w:r w:rsidRPr="00177126">
        <w:rPr>
          <w:i/>
        </w:rPr>
        <w:t xml:space="preserve"> two reserved values. </w:t>
      </w:r>
    </w:p>
    <w:p w14:paraId="5A7CA44E" w14:textId="77777777" w:rsidR="00177126" w:rsidRPr="00177126" w:rsidRDefault="00177126" w:rsidP="00177126">
      <w:pPr>
        <w:pStyle w:val="Doc-text2"/>
        <w:ind w:left="1906"/>
        <w:rPr>
          <w:i/>
        </w:rPr>
      </w:pPr>
      <w:r w:rsidRPr="00177126">
        <w:rPr>
          <w:i/>
        </w:rPr>
        <w:t>=&gt;</w:t>
      </w:r>
      <w:r w:rsidRPr="00177126">
        <w:rPr>
          <w:i/>
        </w:rPr>
        <w:tab/>
        <w:t>Noted</w:t>
      </w:r>
    </w:p>
    <w:p w14:paraId="7AB83028" w14:textId="77777777" w:rsidR="00177126" w:rsidRPr="00177126" w:rsidRDefault="00177126" w:rsidP="00177126">
      <w:pPr>
        <w:pStyle w:val="Doc-text2"/>
        <w:ind w:left="1906"/>
        <w:rPr>
          <w:i/>
        </w:rPr>
      </w:pPr>
    </w:p>
    <w:p w14:paraId="071C56FC"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rPr>
        <w:t>Agreements</w:t>
      </w:r>
    </w:p>
    <w:p w14:paraId="6541BD1D"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rPr>
        <w:t xml:space="preserve">1: In NR, the length of BI is 4 </w:t>
      </w:r>
      <w:proofErr w:type="gramStart"/>
      <w:r w:rsidRPr="00177126">
        <w:rPr>
          <w:i/>
        </w:rPr>
        <w:t>bit</w:t>
      </w:r>
      <w:proofErr w:type="gramEnd"/>
      <w:r w:rsidRPr="00177126">
        <w:rPr>
          <w:i/>
        </w:rPr>
        <w:t xml:space="preserve"> </w:t>
      </w:r>
    </w:p>
    <w:p w14:paraId="2600EAE3"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rPr>
        <w:t>2: As in LTE, the time unit of Backoff parameter value in NR is millisecond.</w:t>
      </w:r>
    </w:p>
    <w:p w14:paraId="0C3FC8C8"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rPr>
        <w:t>3: FFS - The size of UL grant field in RAR message depends on further input from RAN1.</w:t>
      </w:r>
    </w:p>
    <w:p w14:paraId="06064A9F"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rPr>
        <w:t xml:space="preserve">4: For NR, length of TA field is 12 bits in MAC RAR.  FFS if there are reserved bits depending on the UL grant field size </w:t>
      </w:r>
    </w:p>
    <w:p w14:paraId="3A695E73"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rPr>
        <w:t>5: Temporary C-RNTI is 16 bits in RAR message.  C-RNTI is 16 bits. [CB for Friday]</w:t>
      </w:r>
    </w:p>
    <w:p w14:paraId="77592D74" w14:textId="77777777" w:rsidR="00177126" w:rsidRPr="00177126" w:rsidRDefault="00177126" w:rsidP="00177126">
      <w:pPr>
        <w:pStyle w:val="Doc-text2"/>
        <w:pBdr>
          <w:top w:val="single" w:sz="4" w:space="1" w:color="auto"/>
          <w:left w:val="single" w:sz="4" w:space="4" w:color="auto"/>
          <w:bottom w:val="single" w:sz="4" w:space="1" w:color="auto"/>
          <w:right w:val="single" w:sz="4" w:space="4" w:color="auto"/>
        </w:pBdr>
        <w:ind w:left="1906"/>
        <w:rPr>
          <w:i/>
        </w:rPr>
      </w:pPr>
      <w:r w:rsidRPr="00177126">
        <w:rPr>
          <w:i/>
          <w:highlight w:val="yellow"/>
        </w:rPr>
        <w:t>6:  BI table design: remove the zero value from the NR BI table.</w:t>
      </w:r>
      <w:r w:rsidRPr="00177126">
        <w:rPr>
          <w:i/>
        </w:rPr>
        <w:t xml:space="preserve">  5 ms and 1920 ms are added in addition to LTE value</w:t>
      </w:r>
    </w:p>
    <w:p w14:paraId="3331A684" w14:textId="77777777" w:rsidR="00177126" w:rsidRPr="00877ECE" w:rsidRDefault="00177126" w:rsidP="00177126">
      <w:pPr>
        <w:pStyle w:val="Doc-text2"/>
        <w:pBdr>
          <w:top w:val="single" w:sz="4" w:space="1" w:color="auto"/>
          <w:left w:val="single" w:sz="4" w:space="4" w:color="auto"/>
          <w:bottom w:val="single" w:sz="4" w:space="1" w:color="auto"/>
          <w:right w:val="single" w:sz="4" w:space="4" w:color="auto"/>
        </w:pBdr>
        <w:ind w:left="1906"/>
      </w:pPr>
      <w:r w:rsidRPr="00177126">
        <w:rPr>
          <w:i/>
        </w:rPr>
        <w:t>7:  If C-RNTI MAC CE was not included in Msg3, the contention resolution is successful if the UE Contention Resolution Identity received in Msg4 matches the first ‘48’ bits of CCCH SDU transmitted in Msg3.  FFS how contention resolution is done for the msg3 based SI request [CB for Friday to flag]</w:t>
      </w:r>
    </w:p>
    <w:p w14:paraId="5C450685" w14:textId="5F17F81A" w:rsidR="00177126" w:rsidRDefault="00177126" w:rsidP="00177126"/>
    <w:p w14:paraId="08D9FDD5" w14:textId="482C109A" w:rsidR="00177126" w:rsidRDefault="00177126" w:rsidP="00177126">
      <w:r>
        <w:t>The issue with</w:t>
      </w:r>
      <w:r w:rsidR="006D1B7B">
        <w:t>out</w:t>
      </w:r>
      <w:r>
        <w:t xml:space="preserve"> having zero value for BI (Backoff Indicator) is that the reserved </w:t>
      </w:r>
      <w:r w:rsidR="00AD479A">
        <w:t>bits</w:t>
      </w:r>
      <w:r>
        <w:t xml:space="preserve"> of the MAC subheader for BI cannot be used without indicating non-zero backoff for legacy UEs that don’t use the reserved values. The MAC subheader for BI is defined as follows </w:t>
      </w:r>
      <w:bookmarkStart w:id="0" w:name="_Hlk1047604"/>
      <w:r>
        <w:t xml:space="preserve">in </w:t>
      </w:r>
      <w:hyperlink r:id="rId13" w:history="1">
        <w:r w:rsidRPr="00177126">
          <w:rPr>
            <w:rStyle w:val="Hyperlink"/>
          </w:rPr>
          <w:t>TS 38.321</w:t>
        </w:r>
      </w:hyperlink>
      <w:r w:rsidR="00AD479A">
        <w:t xml:space="preserve"> for referenc</w:t>
      </w:r>
      <w:bookmarkEnd w:id="0"/>
      <w:r w:rsidR="00AD479A">
        <w:t>e</w:t>
      </w:r>
      <w:r>
        <w:t>:</w:t>
      </w:r>
    </w:p>
    <w:tbl>
      <w:tblPr>
        <w:tblStyle w:val="TableGrid"/>
        <w:tblW w:w="0" w:type="auto"/>
        <w:tblLook w:val="04A0" w:firstRow="1" w:lastRow="0" w:firstColumn="1" w:lastColumn="0" w:noHBand="0" w:noVBand="1"/>
      </w:tblPr>
      <w:tblGrid>
        <w:gridCol w:w="9631"/>
      </w:tblGrid>
      <w:tr w:rsidR="00A02BA6" w14:paraId="2AF8AFFC" w14:textId="77777777" w:rsidTr="00A02BA6">
        <w:tc>
          <w:tcPr>
            <w:tcW w:w="9631" w:type="dxa"/>
            <w:shd w:val="clear" w:color="auto" w:fill="F2F2F2" w:themeFill="background1" w:themeFillShade="F2"/>
          </w:tcPr>
          <w:p w14:paraId="483E580C" w14:textId="77777777" w:rsidR="00A02BA6" w:rsidRPr="000B541D" w:rsidRDefault="00A02BA6" w:rsidP="00A02BA6">
            <w:pPr>
              <w:pStyle w:val="TH"/>
              <w:rPr>
                <w:lang w:eastAsia="ko-KR"/>
              </w:rPr>
            </w:pPr>
            <w:r w:rsidRPr="000B541D">
              <w:object w:dxaOrig="5700" w:dyaOrig="1020" w14:anchorId="2ED8A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14" o:title=""/>
                </v:shape>
                <o:OLEObject Type="Embed" ProgID="Visio.Drawing.15" ShapeID="_x0000_i1025" DrawAspect="Content" ObjectID="_1611666057" r:id="rId15"/>
              </w:object>
            </w:r>
          </w:p>
          <w:p w14:paraId="1AC4B1E8" w14:textId="77777777" w:rsidR="00A02BA6" w:rsidRPr="000B541D" w:rsidRDefault="00A02BA6" w:rsidP="00A02BA6">
            <w:pPr>
              <w:pStyle w:val="TF"/>
              <w:rPr>
                <w:lang w:eastAsia="ko-KR"/>
              </w:rPr>
            </w:pPr>
            <w:r w:rsidRPr="000B541D">
              <w:rPr>
                <w:lang w:eastAsia="ko-KR"/>
              </w:rPr>
              <w:t>Figure 6.1.5-1: E/T/R/R/BI MAC subheader</w:t>
            </w:r>
          </w:p>
          <w:p w14:paraId="2FF6D290" w14:textId="77777777" w:rsidR="00A02BA6" w:rsidRDefault="00A02BA6" w:rsidP="00177126"/>
        </w:tc>
      </w:tr>
    </w:tbl>
    <w:p w14:paraId="296F3C92" w14:textId="77777777" w:rsidR="00A02BA6" w:rsidRDefault="00A02BA6" w:rsidP="00177126"/>
    <w:p w14:paraId="13384079" w14:textId="71469AEA" w:rsidR="00177126" w:rsidRPr="00AD479A" w:rsidRDefault="00AD479A" w:rsidP="00177126">
      <w:pPr>
        <w:rPr>
          <w:b/>
        </w:rPr>
      </w:pPr>
      <w:r>
        <w:rPr>
          <w:b/>
        </w:rPr>
        <w:t>Observation 1: Reserved bits in MAC subheader for BI cannot be used in the future without indicating non-zero backoff for legacy UEs.</w:t>
      </w:r>
    </w:p>
    <w:p w14:paraId="61C959F7" w14:textId="0942919B" w:rsidR="00AD479A" w:rsidRDefault="00AD479A" w:rsidP="00177126">
      <w:r>
        <w:t>On the other hand, no UE behaviour has been defined for the case NW indicates reserved value from the table of backoff parameter values. In LTE, if the BI includes a reserved value (in the UE implemented release), the UE applies the highest backoff defined for its release of the specification. The subclause of backoff parameter values is provided below for reference</w:t>
      </w:r>
      <w:r w:rsidR="00934F66" w:rsidRPr="00934F66">
        <w:t xml:space="preserve"> </w:t>
      </w:r>
      <w:r w:rsidR="00934F66">
        <w:t xml:space="preserve">from </w:t>
      </w:r>
      <w:hyperlink r:id="rId16" w:history="1">
        <w:r w:rsidR="00934F66" w:rsidRPr="00177126">
          <w:rPr>
            <w:rStyle w:val="Hyperlink"/>
          </w:rPr>
          <w:t>TS 38.321</w:t>
        </w:r>
      </w:hyperlink>
      <w:r>
        <w:t>:</w:t>
      </w:r>
    </w:p>
    <w:tbl>
      <w:tblPr>
        <w:tblStyle w:val="TableGrid"/>
        <w:tblW w:w="0" w:type="auto"/>
        <w:tblLook w:val="04A0" w:firstRow="1" w:lastRow="0" w:firstColumn="1" w:lastColumn="0" w:noHBand="0" w:noVBand="1"/>
      </w:tblPr>
      <w:tblGrid>
        <w:gridCol w:w="9631"/>
      </w:tblGrid>
      <w:tr w:rsidR="00A02BA6" w14:paraId="745FE812" w14:textId="77777777" w:rsidTr="00A02BA6">
        <w:tc>
          <w:tcPr>
            <w:tcW w:w="9631" w:type="dxa"/>
            <w:shd w:val="clear" w:color="auto" w:fill="F2F2F2" w:themeFill="background1" w:themeFillShade="F2"/>
          </w:tcPr>
          <w:p w14:paraId="1E56F323" w14:textId="77777777" w:rsidR="00A02BA6" w:rsidRPr="00A02BA6" w:rsidRDefault="00A02BA6" w:rsidP="00A02BA6">
            <w:pPr>
              <w:keepNext/>
              <w:keepLines/>
              <w:spacing w:before="180"/>
              <w:ind w:left="1134" w:hanging="1134"/>
              <w:outlineLvl w:val="1"/>
              <w:rPr>
                <w:rFonts w:ascii="Arial" w:eastAsia="Malgun Gothic" w:hAnsi="Arial"/>
                <w:sz w:val="32"/>
                <w:lang w:eastAsia="ko-KR"/>
              </w:rPr>
            </w:pPr>
            <w:bookmarkStart w:id="1" w:name="_Toc534933512"/>
            <w:r w:rsidRPr="00A02BA6">
              <w:rPr>
                <w:rFonts w:ascii="Arial" w:eastAsia="Malgun Gothic" w:hAnsi="Arial"/>
                <w:sz w:val="32"/>
                <w:lang w:eastAsia="ko-KR"/>
              </w:rPr>
              <w:t>7.2</w:t>
            </w:r>
            <w:r w:rsidRPr="00A02BA6">
              <w:rPr>
                <w:rFonts w:ascii="Arial" w:eastAsia="Malgun Gothic" w:hAnsi="Arial"/>
                <w:sz w:val="32"/>
                <w:lang w:eastAsia="ko-KR"/>
              </w:rPr>
              <w:tab/>
              <w:t>Backoff Parameter values</w:t>
            </w:r>
            <w:bookmarkEnd w:id="1"/>
          </w:p>
          <w:p w14:paraId="08BA59DD" w14:textId="77777777" w:rsidR="00A02BA6" w:rsidRPr="00A02BA6" w:rsidRDefault="00A02BA6" w:rsidP="00A02BA6">
            <w:pPr>
              <w:rPr>
                <w:rFonts w:eastAsia="Malgun Gothic"/>
                <w:lang w:eastAsia="ko-KR"/>
              </w:rPr>
            </w:pPr>
            <w:r w:rsidRPr="00A02BA6">
              <w:rPr>
                <w:rFonts w:eastAsia="Malgun Gothic"/>
                <w:lang w:eastAsia="ko-KR"/>
              </w:rPr>
              <w:t>Backoff Parameter values are presented in Table 7.2-1.</w:t>
            </w:r>
          </w:p>
          <w:p w14:paraId="70162615" w14:textId="77777777" w:rsidR="00A02BA6" w:rsidRPr="00A02BA6" w:rsidRDefault="00A02BA6" w:rsidP="00A02BA6">
            <w:pPr>
              <w:keepNext/>
              <w:keepLines/>
              <w:spacing w:before="60"/>
              <w:jc w:val="center"/>
              <w:rPr>
                <w:rFonts w:ascii="Arial" w:eastAsia="Malgun Gothic" w:hAnsi="Arial"/>
                <w:b/>
                <w:noProof/>
              </w:rPr>
            </w:pPr>
            <w:r w:rsidRPr="00A02BA6">
              <w:rPr>
                <w:rFonts w:ascii="Arial" w:eastAsia="Malgun Gothic" w:hAnsi="Arial"/>
                <w:b/>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A02BA6" w:rsidRPr="00A02BA6" w14:paraId="4DF16374" w14:textId="77777777" w:rsidTr="005B5B11">
              <w:trPr>
                <w:jc w:val="center"/>
              </w:trPr>
              <w:tc>
                <w:tcPr>
                  <w:tcW w:w="2235" w:type="dxa"/>
                </w:tcPr>
                <w:p w14:paraId="1CBFF9AE" w14:textId="77777777" w:rsidR="00A02BA6" w:rsidRPr="00A02BA6" w:rsidRDefault="00A02BA6" w:rsidP="00A02BA6">
                  <w:pPr>
                    <w:keepNext/>
                    <w:keepLines/>
                    <w:spacing w:after="0"/>
                    <w:jc w:val="center"/>
                    <w:rPr>
                      <w:rFonts w:ascii="Arial" w:eastAsia="Malgun Gothic" w:hAnsi="Arial"/>
                      <w:b/>
                      <w:noProof/>
                      <w:sz w:val="18"/>
                      <w:lang w:eastAsia="ko-KR"/>
                    </w:rPr>
                  </w:pPr>
                  <w:r w:rsidRPr="00A02BA6">
                    <w:rPr>
                      <w:rFonts w:ascii="Arial" w:eastAsia="Malgun Gothic" w:hAnsi="Arial"/>
                      <w:b/>
                      <w:noProof/>
                      <w:sz w:val="18"/>
                      <w:lang w:eastAsia="ko-KR"/>
                    </w:rPr>
                    <w:t>Index</w:t>
                  </w:r>
                </w:p>
              </w:tc>
              <w:tc>
                <w:tcPr>
                  <w:tcW w:w="3130" w:type="dxa"/>
                </w:tcPr>
                <w:p w14:paraId="0BDA3A0B" w14:textId="77777777" w:rsidR="00A02BA6" w:rsidRPr="00A02BA6" w:rsidRDefault="00A02BA6" w:rsidP="00A02BA6">
                  <w:pPr>
                    <w:keepNext/>
                    <w:keepLines/>
                    <w:spacing w:after="0"/>
                    <w:jc w:val="center"/>
                    <w:rPr>
                      <w:rFonts w:ascii="Arial" w:eastAsia="Malgun Gothic" w:hAnsi="Arial"/>
                      <w:b/>
                      <w:noProof/>
                      <w:sz w:val="18"/>
                      <w:lang w:eastAsia="ko-KR"/>
                    </w:rPr>
                  </w:pPr>
                  <w:r w:rsidRPr="00A02BA6">
                    <w:rPr>
                      <w:rFonts w:ascii="Arial" w:eastAsia="Malgun Gothic" w:hAnsi="Arial"/>
                      <w:b/>
                      <w:noProof/>
                      <w:sz w:val="18"/>
                      <w:lang w:eastAsia="ko-KR"/>
                    </w:rPr>
                    <w:t>Backoff Parameter value (ms)</w:t>
                  </w:r>
                </w:p>
              </w:tc>
            </w:tr>
            <w:tr w:rsidR="00A02BA6" w:rsidRPr="00A02BA6" w14:paraId="57B05744" w14:textId="77777777" w:rsidTr="005B5B11">
              <w:trPr>
                <w:jc w:val="center"/>
              </w:trPr>
              <w:tc>
                <w:tcPr>
                  <w:tcW w:w="2235" w:type="dxa"/>
                </w:tcPr>
                <w:p w14:paraId="40814078"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0</w:t>
                  </w:r>
                </w:p>
              </w:tc>
              <w:tc>
                <w:tcPr>
                  <w:tcW w:w="3130" w:type="dxa"/>
                </w:tcPr>
                <w:p w14:paraId="39930194"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5</w:t>
                  </w:r>
                </w:p>
              </w:tc>
            </w:tr>
            <w:tr w:rsidR="00A02BA6" w:rsidRPr="00A02BA6" w14:paraId="3FE98689" w14:textId="77777777" w:rsidTr="005B5B11">
              <w:trPr>
                <w:jc w:val="center"/>
              </w:trPr>
              <w:tc>
                <w:tcPr>
                  <w:tcW w:w="2235" w:type="dxa"/>
                </w:tcPr>
                <w:p w14:paraId="2310B701"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w:t>
                  </w:r>
                </w:p>
              </w:tc>
              <w:tc>
                <w:tcPr>
                  <w:tcW w:w="3130" w:type="dxa"/>
                </w:tcPr>
                <w:p w14:paraId="53495909"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10</w:t>
                  </w:r>
                </w:p>
              </w:tc>
            </w:tr>
            <w:tr w:rsidR="00A02BA6" w:rsidRPr="00A02BA6" w14:paraId="41E42FE4" w14:textId="77777777" w:rsidTr="005B5B11">
              <w:trPr>
                <w:jc w:val="center"/>
              </w:trPr>
              <w:tc>
                <w:tcPr>
                  <w:tcW w:w="2235" w:type="dxa"/>
                </w:tcPr>
                <w:p w14:paraId="7CDB0E8E"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2</w:t>
                  </w:r>
                </w:p>
              </w:tc>
              <w:tc>
                <w:tcPr>
                  <w:tcW w:w="3130" w:type="dxa"/>
                </w:tcPr>
                <w:p w14:paraId="7ACA6727"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20</w:t>
                  </w:r>
                </w:p>
              </w:tc>
            </w:tr>
            <w:tr w:rsidR="00A02BA6" w:rsidRPr="00A02BA6" w14:paraId="0456B9A2" w14:textId="77777777" w:rsidTr="005B5B11">
              <w:trPr>
                <w:jc w:val="center"/>
              </w:trPr>
              <w:tc>
                <w:tcPr>
                  <w:tcW w:w="2235" w:type="dxa"/>
                </w:tcPr>
                <w:p w14:paraId="6A0E06E2"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3</w:t>
                  </w:r>
                </w:p>
              </w:tc>
              <w:tc>
                <w:tcPr>
                  <w:tcW w:w="3130" w:type="dxa"/>
                </w:tcPr>
                <w:p w14:paraId="372AE9C3"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30</w:t>
                  </w:r>
                </w:p>
              </w:tc>
            </w:tr>
            <w:tr w:rsidR="00A02BA6" w:rsidRPr="00A02BA6" w14:paraId="0D88E746" w14:textId="77777777" w:rsidTr="005B5B11">
              <w:trPr>
                <w:jc w:val="center"/>
              </w:trPr>
              <w:tc>
                <w:tcPr>
                  <w:tcW w:w="2235" w:type="dxa"/>
                </w:tcPr>
                <w:p w14:paraId="0E1C1C86"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4</w:t>
                  </w:r>
                </w:p>
              </w:tc>
              <w:tc>
                <w:tcPr>
                  <w:tcW w:w="3130" w:type="dxa"/>
                </w:tcPr>
                <w:p w14:paraId="677EFBA5"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40</w:t>
                  </w:r>
                </w:p>
              </w:tc>
            </w:tr>
            <w:tr w:rsidR="00A02BA6" w:rsidRPr="00A02BA6" w14:paraId="2309DC41" w14:textId="77777777" w:rsidTr="005B5B11">
              <w:trPr>
                <w:jc w:val="center"/>
              </w:trPr>
              <w:tc>
                <w:tcPr>
                  <w:tcW w:w="2235" w:type="dxa"/>
                </w:tcPr>
                <w:p w14:paraId="581D2558"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5</w:t>
                  </w:r>
                </w:p>
              </w:tc>
              <w:tc>
                <w:tcPr>
                  <w:tcW w:w="3130" w:type="dxa"/>
                </w:tcPr>
                <w:p w14:paraId="712E94A8"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60</w:t>
                  </w:r>
                </w:p>
              </w:tc>
            </w:tr>
            <w:tr w:rsidR="00A02BA6" w:rsidRPr="00A02BA6" w14:paraId="411882E3" w14:textId="77777777" w:rsidTr="005B5B11">
              <w:trPr>
                <w:jc w:val="center"/>
              </w:trPr>
              <w:tc>
                <w:tcPr>
                  <w:tcW w:w="2235" w:type="dxa"/>
                </w:tcPr>
                <w:p w14:paraId="4C5380C1"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6</w:t>
                  </w:r>
                </w:p>
              </w:tc>
              <w:tc>
                <w:tcPr>
                  <w:tcW w:w="3130" w:type="dxa"/>
                </w:tcPr>
                <w:p w14:paraId="3A7F4F78"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80</w:t>
                  </w:r>
                </w:p>
              </w:tc>
            </w:tr>
            <w:tr w:rsidR="00A02BA6" w:rsidRPr="00A02BA6" w14:paraId="79AC6EC3" w14:textId="77777777" w:rsidTr="005B5B11">
              <w:trPr>
                <w:jc w:val="center"/>
              </w:trPr>
              <w:tc>
                <w:tcPr>
                  <w:tcW w:w="2235" w:type="dxa"/>
                </w:tcPr>
                <w:p w14:paraId="64622590"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7</w:t>
                  </w:r>
                </w:p>
              </w:tc>
              <w:tc>
                <w:tcPr>
                  <w:tcW w:w="3130" w:type="dxa"/>
                </w:tcPr>
                <w:p w14:paraId="2448031E"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120</w:t>
                  </w:r>
                </w:p>
              </w:tc>
            </w:tr>
            <w:tr w:rsidR="00A02BA6" w:rsidRPr="00A02BA6" w14:paraId="37C0DF87" w14:textId="77777777" w:rsidTr="005B5B11">
              <w:trPr>
                <w:jc w:val="center"/>
              </w:trPr>
              <w:tc>
                <w:tcPr>
                  <w:tcW w:w="2235" w:type="dxa"/>
                </w:tcPr>
                <w:p w14:paraId="67221903"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8</w:t>
                  </w:r>
                </w:p>
              </w:tc>
              <w:tc>
                <w:tcPr>
                  <w:tcW w:w="3130" w:type="dxa"/>
                </w:tcPr>
                <w:p w14:paraId="222670C4"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160</w:t>
                  </w:r>
                </w:p>
              </w:tc>
            </w:tr>
            <w:tr w:rsidR="00A02BA6" w:rsidRPr="00A02BA6" w14:paraId="18379737" w14:textId="77777777" w:rsidTr="005B5B11">
              <w:trPr>
                <w:jc w:val="center"/>
              </w:trPr>
              <w:tc>
                <w:tcPr>
                  <w:tcW w:w="2235" w:type="dxa"/>
                </w:tcPr>
                <w:p w14:paraId="7D4C0D17"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9</w:t>
                  </w:r>
                </w:p>
              </w:tc>
              <w:tc>
                <w:tcPr>
                  <w:tcW w:w="3130" w:type="dxa"/>
                </w:tcPr>
                <w:p w14:paraId="699F1D65"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240</w:t>
                  </w:r>
                </w:p>
              </w:tc>
            </w:tr>
            <w:tr w:rsidR="00A02BA6" w:rsidRPr="00A02BA6" w14:paraId="2907071C" w14:textId="77777777" w:rsidTr="005B5B11">
              <w:trPr>
                <w:jc w:val="center"/>
              </w:trPr>
              <w:tc>
                <w:tcPr>
                  <w:tcW w:w="2235" w:type="dxa"/>
                </w:tcPr>
                <w:p w14:paraId="27B0E58F"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10</w:t>
                  </w:r>
                </w:p>
              </w:tc>
              <w:tc>
                <w:tcPr>
                  <w:tcW w:w="3130" w:type="dxa"/>
                </w:tcPr>
                <w:p w14:paraId="48636ADA"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320</w:t>
                  </w:r>
                </w:p>
              </w:tc>
            </w:tr>
            <w:tr w:rsidR="00A02BA6" w:rsidRPr="00A02BA6" w14:paraId="5C86B6FA" w14:textId="77777777" w:rsidTr="005B5B11">
              <w:trPr>
                <w:jc w:val="center"/>
              </w:trPr>
              <w:tc>
                <w:tcPr>
                  <w:tcW w:w="2235" w:type="dxa"/>
                </w:tcPr>
                <w:p w14:paraId="0DA895D1"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11</w:t>
                  </w:r>
                </w:p>
              </w:tc>
              <w:tc>
                <w:tcPr>
                  <w:tcW w:w="3130" w:type="dxa"/>
                </w:tcPr>
                <w:p w14:paraId="178821D5"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480</w:t>
                  </w:r>
                </w:p>
              </w:tc>
            </w:tr>
            <w:tr w:rsidR="00A02BA6" w:rsidRPr="00A02BA6" w14:paraId="31FBC848" w14:textId="77777777" w:rsidTr="005B5B11">
              <w:trPr>
                <w:jc w:val="center"/>
              </w:trPr>
              <w:tc>
                <w:tcPr>
                  <w:tcW w:w="2235" w:type="dxa"/>
                </w:tcPr>
                <w:p w14:paraId="3726836A"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12</w:t>
                  </w:r>
                </w:p>
              </w:tc>
              <w:tc>
                <w:tcPr>
                  <w:tcW w:w="3130" w:type="dxa"/>
                </w:tcPr>
                <w:p w14:paraId="5B8C573E"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960</w:t>
                  </w:r>
                </w:p>
              </w:tc>
            </w:tr>
            <w:tr w:rsidR="00A02BA6" w:rsidRPr="00A02BA6" w14:paraId="1BB8E88C" w14:textId="77777777" w:rsidTr="005B5B11">
              <w:trPr>
                <w:jc w:val="center"/>
              </w:trPr>
              <w:tc>
                <w:tcPr>
                  <w:tcW w:w="2235" w:type="dxa"/>
                </w:tcPr>
                <w:p w14:paraId="233F3512"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13</w:t>
                  </w:r>
                </w:p>
              </w:tc>
              <w:tc>
                <w:tcPr>
                  <w:tcW w:w="3130" w:type="dxa"/>
                </w:tcPr>
                <w:p w14:paraId="4AE3AEE2"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1920</w:t>
                  </w:r>
                </w:p>
              </w:tc>
            </w:tr>
            <w:tr w:rsidR="00A02BA6" w:rsidRPr="00A02BA6" w14:paraId="56DA9AB5" w14:textId="77777777" w:rsidTr="005B5B11">
              <w:trPr>
                <w:jc w:val="center"/>
              </w:trPr>
              <w:tc>
                <w:tcPr>
                  <w:tcW w:w="2235" w:type="dxa"/>
                </w:tcPr>
                <w:p w14:paraId="1FBE1189"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14</w:t>
                  </w:r>
                </w:p>
              </w:tc>
              <w:tc>
                <w:tcPr>
                  <w:tcW w:w="3130" w:type="dxa"/>
                </w:tcPr>
                <w:p w14:paraId="59B383F8"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Reserved</w:t>
                  </w:r>
                </w:p>
              </w:tc>
            </w:tr>
            <w:tr w:rsidR="00A02BA6" w:rsidRPr="00A02BA6" w14:paraId="2E9509A9" w14:textId="77777777" w:rsidTr="005B5B11">
              <w:trPr>
                <w:jc w:val="center"/>
              </w:trPr>
              <w:tc>
                <w:tcPr>
                  <w:tcW w:w="2235" w:type="dxa"/>
                </w:tcPr>
                <w:p w14:paraId="1B6DF4E3"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lang w:eastAsia="ko-KR"/>
                    </w:rPr>
                    <w:t>15</w:t>
                  </w:r>
                </w:p>
              </w:tc>
              <w:tc>
                <w:tcPr>
                  <w:tcW w:w="3130" w:type="dxa"/>
                </w:tcPr>
                <w:p w14:paraId="645867DA" w14:textId="77777777" w:rsidR="00A02BA6" w:rsidRPr="00A02BA6" w:rsidRDefault="00A02BA6" w:rsidP="00A02BA6">
                  <w:pPr>
                    <w:keepNext/>
                    <w:keepLines/>
                    <w:spacing w:after="0"/>
                    <w:jc w:val="center"/>
                    <w:rPr>
                      <w:rFonts w:ascii="Arial" w:eastAsia="Malgun Gothic" w:hAnsi="Arial"/>
                      <w:noProof/>
                      <w:sz w:val="18"/>
                      <w:lang w:eastAsia="ko-KR"/>
                    </w:rPr>
                  </w:pPr>
                  <w:r w:rsidRPr="00A02BA6">
                    <w:rPr>
                      <w:rFonts w:ascii="Arial" w:eastAsia="Malgun Gothic" w:hAnsi="Arial"/>
                      <w:noProof/>
                      <w:sz w:val="18"/>
                    </w:rPr>
                    <w:t>Reserved</w:t>
                  </w:r>
                </w:p>
              </w:tc>
            </w:tr>
          </w:tbl>
          <w:p w14:paraId="2E3CFA6D" w14:textId="19CC95D7" w:rsidR="00A02BA6" w:rsidRDefault="00A02BA6" w:rsidP="00177126"/>
        </w:tc>
      </w:tr>
    </w:tbl>
    <w:p w14:paraId="52591BC2" w14:textId="05CDEC7F" w:rsidR="00AD479A" w:rsidRDefault="00AD479A" w:rsidP="00177126"/>
    <w:p w14:paraId="47F68493" w14:textId="4ED30A84" w:rsidR="00A02BA6" w:rsidRPr="00A02BA6" w:rsidRDefault="00A02BA6" w:rsidP="00177126">
      <w:pPr>
        <w:rPr>
          <w:b/>
        </w:rPr>
      </w:pPr>
      <w:r>
        <w:rPr>
          <w:b/>
        </w:rPr>
        <w:t>Observation 2: No UE behaviour has been defined for the case NW indicates BI with reserved backoff parameter value in NR.</w:t>
      </w:r>
    </w:p>
    <w:p w14:paraId="3B5AB45D" w14:textId="15BC2113" w:rsidR="00AD479A" w:rsidRDefault="00A02BA6" w:rsidP="00177126">
      <w:r>
        <w:t>Although NR could apply similar analogy used in NR for reserved backoff parameter values, this will not solve the problem of not being able to use the reserved bits in MAC subheader for BI without indicating non-zero backoff for legacy UEs.</w:t>
      </w:r>
      <w:r w:rsidR="005E5BA3">
        <w:t xml:space="preserve"> In general, the reserved bits in the MAC subheader seems much more valuable for the future use than the two index values in the backoff parameter values table. Hence, it seems desirable to enable a solution that will allow indicating 0 ms backoff with the current design.</w:t>
      </w:r>
    </w:p>
    <w:p w14:paraId="61EF4968" w14:textId="0DB77721" w:rsidR="006A6F45" w:rsidRDefault="006A6F45" w:rsidP="00177126">
      <w:hyperlink r:id="rId17" w:history="1">
        <w:r w:rsidRPr="006A6F45">
          <w:rPr>
            <w:rStyle w:val="Hyperlink"/>
          </w:rPr>
          <w:t>TS 38.321</w:t>
        </w:r>
      </w:hyperlink>
      <w:r w:rsidRPr="006A6F45">
        <w:t xml:space="preserve"> </w:t>
      </w:r>
      <w:r>
        <w:t>also specifies the following:</w:t>
      </w:r>
    </w:p>
    <w:tbl>
      <w:tblPr>
        <w:tblStyle w:val="TableGrid"/>
        <w:tblW w:w="0" w:type="auto"/>
        <w:tblLook w:val="04A0" w:firstRow="1" w:lastRow="0" w:firstColumn="1" w:lastColumn="0" w:noHBand="0" w:noVBand="1"/>
      </w:tblPr>
      <w:tblGrid>
        <w:gridCol w:w="9631"/>
      </w:tblGrid>
      <w:tr w:rsidR="006A6F45" w14:paraId="1D24A6F0" w14:textId="77777777" w:rsidTr="006A6F45">
        <w:tc>
          <w:tcPr>
            <w:tcW w:w="9631" w:type="dxa"/>
            <w:shd w:val="clear" w:color="auto" w:fill="F2F2F2" w:themeFill="background1" w:themeFillShade="F2"/>
          </w:tcPr>
          <w:p w14:paraId="551616C1" w14:textId="77777777" w:rsidR="006A6F45" w:rsidRPr="006A6F45" w:rsidRDefault="006A6F45" w:rsidP="006A6F45">
            <w:pPr>
              <w:keepNext/>
              <w:keepLines/>
              <w:spacing w:before="120"/>
              <w:ind w:left="1134" w:hanging="1134"/>
              <w:outlineLvl w:val="2"/>
              <w:rPr>
                <w:rFonts w:ascii="Arial" w:eastAsia="Malgun Gothic" w:hAnsi="Arial"/>
                <w:sz w:val="28"/>
                <w:lang w:eastAsia="ko-KR"/>
              </w:rPr>
            </w:pPr>
            <w:bookmarkStart w:id="2" w:name="_Toc534933481"/>
            <w:r w:rsidRPr="006A6F45">
              <w:rPr>
                <w:rFonts w:ascii="Arial" w:eastAsia="Malgun Gothic" w:hAnsi="Arial"/>
                <w:sz w:val="28"/>
                <w:lang w:eastAsia="ko-KR"/>
              </w:rPr>
              <w:t>6.1.1</w:t>
            </w:r>
            <w:r w:rsidRPr="006A6F45">
              <w:rPr>
                <w:rFonts w:ascii="Arial" w:eastAsia="Malgun Gothic" w:hAnsi="Arial"/>
                <w:sz w:val="28"/>
                <w:lang w:eastAsia="ko-KR"/>
              </w:rPr>
              <w:tab/>
              <w:t>General</w:t>
            </w:r>
            <w:bookmarkEnd w:id="2"/>
          </w:p>
          <w:p w14:paraId="19891303" w14:textId="490438FF" w:rsidR="006A6F45" w:rsidRDefault="006A6F45" w:rsidP="00177126">
            <w:pPr>
              <w:rPr>
                <w:rFonts w:eastAsia="Malgun Gothic"/>
                <w:lang w:eastAsia="ko-KR"/>
              </w:rPr>
            </w:pPr>
            <w:r>
              <w:rPr>
                <w:rFonts w:eastAsia="Malgun Gothic"/>
                <w:lang w:eastAsia="ko-KR"/>
              </w:rPr>
              <w:t>(…)</w:t>
            </w:r>
          </w:p>
          <w:p w14:paraId="20815849" w14:textId="094E3D0F" w:rsidR="006A6F45" w:rsidRPr="006A6F45" w:rsidRDefault="006A6F45" w:rsidP="00177126">
            <w:pPr>
              <w:rPr>
                <w:rFonts w:eastAsia="Malgun Gothic"/>
                <w:lang w:eastAsia="ko-KR"/>
              </w:rPr>
            </w:pPr>
            <w:r w:rsidRPr="006A6F45">
              <w:rPr>
                <w:rFonts w:eastAsia="Malgun Gothic"/>
                <w:lang w:eastAsia="ko-KR"/>
              </w:rPr>
              <w:t>The MAC entity shall ignore the value of the Reserved bits in downlink MAC PDUs.</w:t>
            </w:r>
          </w:p>
        </w:tc>
      </w:tr>
    </w:tbl>
    <w:p w14:paraId="4D68A2D3" w14:textId="1C58703B" w:rsidR="006A6F45" w:rsidRDefault="006A6F45" w:rsidP="00177126"/>
    <w:p w14:paraId="07D64268" w14:textId="5275AF3C" w:rsidR="006A6F45" w:rsidRDefault="006A6F45" w:rsidP="00177126">
      <w:r>
        <w:lastRenderedPageBreak/>
        <w:t xml:space="preserve">In principle, this could be considered to be applied also for the Reserved value of the Backoff Parameter, however, it seems unclear what would be the UE behaviour as the </w:t>
      </w:r>
      <w:proofErr w:type="gramStart"/>
      <w:r>
        <w:t>Random Access</w:t>
      </w:r>
      <w:proofErr w:type="gramEnd"/>
      <w:r>
        <w:t xml:space="preserve"> procedure specifies:</w:t>
      </w:r>
    </w:p>
    <w:tbl>
      <w:tblPr>
        <w:tblStyle w:val="TableGrid"/>
        <w:tblW w:w="0" w:type="auto"/>
        <w:tblLook w:val="04A0" w:firstRow="1" w:lastRow="0" w:firstColumn="1" w:lastColumn="0" w:noHBand="0" w:noVBand="1"/>
      </w:tblPr>
      <w:tblGrid>
        <w:gridCol w:w="9631"/>
      </w:tblGrid>
      <w:tr w:rsidR="00EC5505" w14:paraId="103EA478" w14:textId="77777777" w:rsidTr="00EC5505">
        <w:tc>
          <w:tcPr>
            <w:tcW w:w="9631" w:type="dxa"/>
            <w:shd w:val="clear" w:color="auto" w:fill="F2F2F2" w:themeFill="background1" w:themeFillShade="F2"/>
          </w:tcPr>
          <w:p w14:paraId="68C067AA" w14:textId="77777777" w:rsidR="00EC5505" w:rsidRPr="00EC5505" w:rsidRDefault="00EC5505" w:rsidP="00EC5505">
            <w:pPr>
              <w:keepNext/>
              <w:keepLines/>
              <w:spacing w:before="120"/>
              <w:ind w:left="1134" w:hanging="1134"/>
              <w:outlineLvl w:val="2"/>
              <w:rPr>
                <w:rFonts w:ascii="Arial" w:eastAsia="Malgun Gothic" w:hAnsi="Arial"/>
                <w:sz w:val="28"/>
                <w:lang w:eastAsia="ko-KR"/>
              </w:rPr>
            </w:pPr>
            <w:bookmarkStart w:id="3" w:name="_Toc534933428"/>
            <w:r w:rsidRPr="00EC5505">
              <w:rPr>
                <w:rFonts w:ascii="Arial" w:eastAsia="Malgun Gothic" w:hAnsi="Arial"/>
                <w:sz w:val="28"/>
                <w:lang w:eastAsia="ko-KR"/>
              </w:rPr>
              <w:t>5.1.4</w:t>
            </w:r>
            <w:r w:rsidRPr="00EC5505">
              <w:rPr>
                <w:rFonts w:ascii="Arial" w:eastAsia="Malgun Gothic" w:hAnsi="Arial"/>
                <w:sz w:val="28"/>
                <w:lang w:eastAsia="ko-KR"/>
              </w:rPr>
              <w:tab/>
              <w:t>Random Access Response reception</w:t>
            </w:r>
            <w:bookmarkEnd w:id="3"/>
          </w:p>
          <w:p w14:paraId="3098CE0E" w14:textId="036FB49D" w:rsidR="00EC5505" w:rsidRDefault="00EC5505" w:rsidP="00EC5505">
            <w:pPr>
              <w:ind w:left="568" w:hanging="284"/>
              <w:rPr>
                <w:rFonts w:eastAsia="Malgun Gothic"/>
                <w:lang w:eastAsia="ko-KR"/>
              </w:rPr>
            </w:pPr>
            <w:r>
              <w:rPr>
                <w:rFonts w:eastAsia="Malgun Gothic"/>
                <w:lang w:eastAsia="ko-KR"/>
              </w:rPr>
              <w:t>(…)</w:t>
            </w:r>
          </w:p>
          <w:p w14:paraId="3855CAA9" w14:textId="6A03D895" w:rsidR="00EC5505" w:rsidRPr="00EC5505" w:rsidRDefault="00EC5505" w:rsidP="00EC5505">
            <w:pPr>
              <w:ind w:left="568" w:hanging="284"/>
              <w:rPr>
                <w:rFonts w:eastAsia="Malgun Gothic"/>
                <w:lang w:eastAsia="ko-KR"/>
              </w:rPr>
            </w:pPr>
            <w:r w:rsidRPr="00EC5505">
              <w:rPr>
                <w:rFonts w:eastAsia="Malgun Gothic"/>
                <w:lang w:eastAsia="ko-KR"/>
              </w:rPr>
              <w:t>1&gt;</w:t>
            </w:r>
            <w:r w:rsidRPr="00EC5505">
              <w:rPr>
                <w:rFonts w:eastAsia="Malgun Gothic"/>
                <w:lang w:eastAsia="ko-KR"/>
              </w:rPr>
              <w:tab/>
              <w:t>else if a downlink assignment has been received on the PDCCH for the RA-RNTI and the received TB is successfully decoded:</w:t>
            </w:r>
          </w:p>
          <w:p w14:paraId="4E4C906F" w14:textId="77777777" w:rsidR="00EC5505" w:rsidRPr="00EC5505" w:rsidRDefault="00EC5505" w:rsidP="00EC5505">
            <w:pPr>
              <w:ind w:left="851" w:hanging="284"/>
              <w:rPr>
                <w:rFonts w:eastAsia="Malgun Gothic"/>
                <w:lang w:eastAsia="ko-KR"/>
              </w:rPr>
            </w:pPr>
            <w:r w:rsidRPr="00EC5505">
              <w:rPr>
                <w:rFonts w:eastAsia="Malgun Gothic"/>
                <w:lang w:eastAsia="ko-KR"/>
              </w:rPr>
              <w:t>2&gt;</w:t>
            </w:r>
            <w:r w:rsidRPr="00EC5505">
              <w:rPr>
                <w:rFonts w:eastAsia="Malgun Gothic"/>
                <w:lang w:eastAsia="ko-KR"/>
              </w:rPr>
              <w:tab/>
              <w:t xml:space="preserve">if the </w:t>
            </w:r>
            <w:proofErr w:type="gramStart"/>
            <w:r w:rsidRPr="00EC5505">
              <w:rPr>
                <w:rFonts w:eastAsia="Malgun Gothic"/>
                <w:lang w:eastAsia="ko-KR"/>
              </w:rPr>
              <w:t>Random Access</w:t>
            </w:r>
            <w:proofErr w:type="gramEnd"/>
            <w:r w:rsidRPr="00EC5505">
              <w:rPr>
                <w:rFonts w:eastAsia="Malgun Gothic"/>
                <w:lang w:eastAsia="ko-KR"/>
              </w:rPr>
              <w:t xml:space="preserve"> Response contains a MAC </w:t>
            </w:r>
            <w:proofErr w:type="spellStart"/>
            <w:r w:rsidRPr="00EC5505">
              <w:rPr>
                <w:rFonts w:eastAsia="Malgun Gothic"/>
                <w:lang w:eastAsia="ko-KR"/>
              </w:rPr>
              <w:t>subPDU</w:t>
            </w:r>
            <w:proofErr w:type="spellEnd"/>
            <w:r w:rsidRPr="00EC5505">
              <w:rPr>
                <w:rFonts w:eastAsia="Malgun Gothic"/>
                <w:lang w:eastAsia="ko-KR"/>
              </w:rPr>
              <w:t xml:space="preserve"> with Backoff Indicator:</w:t>
            </w:r>
          </w:p>
          <w:p w14:paraId="6A4DC066" w14:textId="77777777" w:rsidR="00EC5505" w:rsidRPr="00EC5505" w:rsidRDefault="00EC5505" w:rsidP="00EC5505">
            <w:pPr>
              <w:ind w:left="1135" w:hanging="284"/>
              <w:rPr>
                <w:rFonts w:eastAsia="Malgun Gothic"/>
                <w:lang w:eastAsia="ko-KR"/>
              </w:rPr>
            </w:pPr>
            <w:r w:rsidRPr="00EC5505">
              <w:rPr>
                <w:rFonts w:eastAsia="Malgun Gothic"/>
                <w:lang w:eastAsia="ko-KR"/>
              </w:rPr>
              <w:t>3&gt;</w:t>
            </w:r>
            <w:r w:rsidRPr="00EC5505">
              <w:rPr>
                <w:rFonts w:eastAsia="Malgun Gothic"/>
                <w:lang w:eastAsia="ko-KR"/>
              </w:rPr>
              <w:tab/>
              <w:t xml:space="preserve">set the </w:t>
            </w:r>
            <w:r w:rsidRPr="00EC5505">
              <w:rPr>
                <w:rFonts w:eastAsia="Malgun Gothic"/>
                <w:i/>
                <w:lang w:eastAsia="ko-KR"/>
              </w:rPr>
              <w:t>PREAMBLE_BACKOFF</w:t>
            </w:r>
            <w:r w:rsidRPr="00EC5505">
              <w:rPr>
                <w:rFonts w:eastAsia="Malgun Gothic"/>
                <w:lang w:eastAsia="ko-KR"/>
              </w:rPr>
              <w:t xml:space="preserve"> to value of the BI field of the MAC </w:t>
            </w:r>
            <w:proofErr w:type="spellStart"/>
            <w:r w:rsidRPr="00EC5505">
              <w:rPr>
                <w:rFonts w:eastAsia="Malgun Gothic"/>
                <w:lang w:eastAsia="ko-KR"/>
              </w:rPr>
              <w:t>subPDU</w:t>
            </w:r>
            <w:proofErr w:type="spellEnd"/>
            <w:r w:rsidRPr="00EC5505">
              <w:rPr>
                <w:rFonts w:eastAsia="Malgun Gothic"/>
                <w:lang w:eastAsia="ko-KR"/>
              </w:rPr>
              <w:t xml:space="preserve"> using Table 7.2-1, multiplied with </w:t>
            </w:r>
            <w:r w:rsidRPr="00EC5505">
              <w:rPr>
                <w:rFonts w:eastAsia="Malgun Gothic"/>
                <w:i/>
                <w:lang w:eastAsia="ko-KR"/>
              </w:rPr>
              <w:t>SCALING_FACTOR_BI</w:t>
            </w:r>
            <w:r w:rsidRPr="00EC5505">
              <w:rPr>
                <w:rFonts w:eastAsia="Malgun Gothic"/>
                <w:lang w:eastAsia="ko-KR"/>
              </w:rPr>
              <w:t>.</w:t>
            </w:r>
          </w:p>
          <w:p w14:paraId="43DAED3C" w14:textId="77777777" w:rsidR="00EC5505" w:rsidRPr="00EC5505" w:rsidRDefault="00EC5505" w:rsidP="00EC5505">
            <w:pPr>
              <w:ind w:left="851" w:hanging="284"/>
              <w:rPr>
                <w:rFonts w:eastAsia="Malgun Gothic"/>
                <w:lang w:eastAsia="ko-KR"/>
              </w:rPr>
            </w:pPr>
            <w:r w:rsidRPr="00EC5505">
              <w:rPr>
                <w:rFonts w:eastAsia="Malgun Gothic"/>
                <w:lang w:eastAsia="ko-KR"/>
              </w:rPr>
              <w:t>2&gt;</w:t>
            </w:r>
            <w:r w:rsidRPr="00EC5505">
              <w:rPr>
                <w:rFonts w:eastAsia="Malgun Gothic"/>
                <w:lang w:eastAsia="ko-KR"/>
              </w:rPr>
              <w:tab/>
              <w:t>else:</w:t>
            </w:r>
          </w:p>
          <w:p w14:paraId="40CBEB04" w14:textId="77777777" w:rsidR="00EC5505" w:rsidRPr="00EC5505" w:rsidRDefault="00EC5505" w:rsidP="00EC5505">
            <w:pPr>
              <w:ind w:left="1135" w:hanging="284"/>
              <w:rPr>
                <w:rFonts w:eastAsia="Malgun Gothic"/>
                <w:lang w:eastAsia="ko-KR"/>
              </w:rPr>
            </w:pPr>
            <w:r w:rsidRPr="00EC5505">
              <w:rPr>
                <w:rFonts w:eastAsia="Malgun Gothic"/>
                <w:lang w:eastAsia="ko-KR"/>
              </w:rPr>
              <w:t>3&gt;</w:t>
            </w:r>
            <w:r w:rsidRPr="00EC5505">
              <w:rPr>
                <w:rFonts w:eastAsia="Malgun Gothic"/>
                <w:lang w:eastAsia="ko-KR"/>
              </w:rPr>
              <w:tab/>
              <w:t xml:space="preserve">set the </w:t>
            </w:r>
            <w:r w:rsidRPr="00EC5505">
              <w:rPr>
                <w:rFonts w:eastAsia="Malgun Gothic"/>
                <w:i/>
                <w:lang w:eastAsia="ko-KR"/>
              </w:rPr>
              <w:t>PREAMBLE_BACKOFF</w:t>
            </w:r>
            <w:r w:rsidRPr="00EC5505">
              <w:rPr>
                <w:rFonts w:eastAsia="Malgun Gothic"/>
                <w:lang w:eastAsia="ko-KR"/>
              </w:rPr>
              <w:t xml:space="preserve"> to 0 ms.</w:t>
            </w:r>
          </w:p>
          <w:p w14:paraId="21CB5312" w14:textId="77777777" w:rsidR="00EC5505" w:rsidRDefault="00EC5505" w:rsidP="00177126"/>
        </w:tc>
      </w:tr>
    </w:tbl>
    <w:p w14:paraId="07D06924" w14:textId="6F70A33B" w:rsidR="006A6F45" w:rsidRDefault="006A6F45" w:rsidP="00177126"/>
    <w:p w14:paraId="4F32F11D" w14:textId="35B30DC8" w:rsidR="00EC5505" w:rsidRDefault="00EC5505" w:rsidP="00177126">
      <w:r>
        <w:t>If the UE ignores the Reserved value of the Backoff Parameter, is it considered as no Backoff Indicator is received or will the UE apply Backoff Parameter value that it may have received in the previous round of RA preamble transmission and RAR reception – there seems to be place for confusion.</w:t>
      </w:r>
    </w:p>
    <w:p w14:paraId="3AB9111D" w14:textId="443F6AB1" w:rsidR="005E5BA3" w:rsidRDefault="00EC5505" w:rsidP="00177126">
      <w:r>
        <w:t xml:space="preserve">Hence, it is proposed to clarify in a note that when the UE ignores the reserved value for Backoff Indicator, it is taken as 0 ms for the Backoff Parameter value. This could </w:t>
      </w:r>
      <w:proofErr w:type="gramStart"/>
      <w:r>
        <w:t>be considered to be</w:t>
      </w:r>
      <w:proofErr w:type="gramEnd"/>
      <w:r>
        <w:t xml:space="preserve"> the intended behaviour anyway given the problems in using the reserved bits in the BI MAC subheader otherwise.</w:t>
      </w:r>
    </w:p>
    <w:p w14:paraId="77BE205F" w14:textId="397B1960" w:rsidR="00A02BA6" w:rsidRDefault="005E5BA3" w:rsidP="00177126">
      <w:pPr>
        <w:rPr>
          <w:b/>
        </w:rPr>
      </w:pPr>
      <w:r>
        <w:rPr>
          <w:b/>
        </w:rPr>
        <w:t xml:space="preserve">Proposal 1: </w:t>
      </w:r>
      <w:r w:rsidR="00EC5505">
        <w:rPr>
          <w:b/>
        </w:rPr>
        <w:t>Add a following note into TS 38.321 “</w:t>
      </w:r>
      <w:r w:rsidR="008634C2" w:rsidRPr="008634C2">
        <w:rPr>
          <w:b/>
        </w:rPr>
        <w:t>NOTE: Ignoring a reserved value of the backoff parameter is taken as 0 m</w:t>
      </w:r>
      <w:bookmarkStart w:id="4" w:name="_GoBack"/>
      <w:bookmarkEnd w:id="4"/>
      <w:r w:rsidR="008634C2" w:rsidRPr="008634C2">
        <w:rPr>
          <w:b/>
        </w:rPr>
        <w:t>s by the UE.</w:t>
      </w:r>
      <w:r w:rsidR="00EC5505">
        <w:rPr>
          <w:b/>
        </w:rPr>
        <w:t>”</w:t>
      </w:r>
      <w:r>
        <w:rPr>
          <w:b/>
        </w:rPr>
        <w:t>.</w:t>
      </w:r>
    </w:p>
    <w:p w14:paraId="43A12B72" w14:textId="20324D72" w:rsidR="00CD4C7B" w:rsidRPr="006E13D1" w:rsidRDefault="005E5BA3" w:rsidP="00CD4C7B">
      <w:pPr>
        <w:pStyle w:val="Heading1"/>
      </w:pPr>
      <w:r>
        <w:t>3</w:t>
      </w:r>
      <w:r w:rsidR="00CD4C7B" w:rsidRPr="006E13D1">
        <w:tab/>
      </w:r>
      <w:r>
        <w:t>Conclusions</w:t>
      </w:r>
    </w:p>
    <w:p w14:paraId="69332217" w14:textId="5B6AE3BD" w:rsidR="00D71C77" w:rsidRDefault="00D71C77" w:rsidP="00CD4C7B">
      <w:r>
        <w:t>In this contribution, the issue with current specification with reserved bits in MAC subheader for BI as well as reserved values usage of backoff parameter was presented:</w:t>
      </w:r>
    </w:p>
    <w:p w14:paraId="1272EBCB" w14:textId="77777777" w:rsidR="00D71C77" w:rsidRPr="00AD479A" w:rsidRDefault="00D71C77" w:rsidP="00D71C77">
      <w:pPr>
        <w:rPr>
          <w:b/>
        </w:rPr>
      </w:pPr>
      <w:r>
        <w:rPr>
          <w:b/>
        </w:rPr>
        <w:t>Observation 1: Reserved bits in MAC subheader for BI cannot be used in the future without indicating non-zero backoff for legacy UEs.</w:t>
      </w:r>
    </w:p>
    <w:p w14:paraId="5DCC741B" w14:textId="77777777" w:rsidR="00D71C77" w:rsidRPr="00A02BA6" w:rsidRDefault="00D71C77" w:rsidP="00D71C77">
      <w:pPr>
        <w:rPr>
          <w:b/>
        </w:rPr>
      </w:pPr>
      <w:r>
        <w:rPr>
          <w:b/>
        </w:rPr>
        <w:t>Observation 2: No UE behaviour has been defined for the case NW indicates BI with reserved backoff parameter value in NR.</w:t>
      </w:r>
    </w:p>
    <w:p w14:paraId="190C81D1" w14:textId="1716A955" w:rsidR="00CD4C7B" w:rsidRPr="006E13D1" w:rsidRDefault="00D71C77" w:rsidP="00CD4C7B">
      <w:r>
        <w:t>As a solution, the following was proposed:</w:t>
      </w:r>
    </w:p>
    <w:p w14:paraId="3CAB89EE" w14:textId="77777777" w:rsidR="008634C2" w:rsidRDefault="008634C2" w:rsidP="008634C2">
      <w:pPr>
        <w:rPr>
          <w:b/>
        </w:rPr>
      </w:pPr>
      <w:r>
        <w:rPr>
          <w:b/>
        </w:rPr>
        <w:t>Proposal 1: Add a following note into TS 38.321 “</w:t>
      </w:r>
      <w:r w:rsidRPr="008634C2">
        <w:rPr>
          <w:b/>
        </w:rPr>
        <w:t>NOTE: Ignoring a reserved value of the backoff parameter is taken as 0 ms by the UE.</w:t>
      </w:r>
      <w:r>
        <w:rPr>
          <w:b/>
        </w:rPr>
        <w:t>”.</w:t>
      </w:r>
    </w:p>
    <w:p w14:paraId="5524F183" w14:textId="6B38FE1B" w:rsidR="00CD4C7B" w:rsidRDefault="005E5BA3" w:rsidP="00CD4C7B">
      <w:r>
        <w:t>The related CR is provided in [1].</w:t>
      </w:r>
    </w:p>
    <w:p w14:paraId="04794786" w14:textId="271A773F" w:rsidR="005E5BA3" w:rsidRDefault="005E5BA3" w:rsidP="005E5BA3">
      <w:pPr>
        <w:pStyle w:val="Heading1"/>
      </w:pPr>
      <w:r>
        <w:t>References</w:t>
      </w:r>
    </w:p>
    <w:p w14:paraId="43A03FD1" w14:textId="054B86ED" w:rsidR="005E5BA3" w:rsidRPr="00383768" w:rsidRDefault="005E5BA3" w:rsidP="005E5BA3">
      <w:pPr>
        <w:numPr>
          <w:ilvl w:val="0"/>
          <w:numId w:val="4"/>
        </w:numPr>
      </w:pPr>
      <w:bookmarkStart w:id="5" w:name="_Ref521434452"/>
      <w:r>
        <w:t>R2-19</w:t>
      </w:r>
      <w:r w:rsidR="004330D0">
        <w:t>01254</w:t>
      </w:r>
      <w:r>
        <w:t xml:space="preserve">, </w:t>
      </w:r>
      <w:r>
        <w:rPr>
          <w:i/>
        </w:rPr>
        <w:t>Correction to reserved backoff parameter values</w:t>
      </w:r>
      <w:r>
        <w:t>, Nokia, Nokia Shanghai Bell</w:t>
      </w:r>
    </w:p>
    <w:bookmarkEnd w:id="5"/>
    <w:p w14:paraId="3D5D6C67" w14:textId="77777777" w:rsidR="005E5BA3" w:rsidRPr="005E5BA3" w:rsidRDefault="005E5BA3" w:rsidP="005E5BA3"/>
    <w:p w14:paraId="055200B7" w14:textId="77777777" w:rsidR="00CD4C7B" w:rsidRDefault="00CD4C7B" w:rsidP="00CD4C7B"/>
    <w:p w14:paraId="35F222F4" w14:textId="77777777" w:rsidR="00080512" w:rsidRPr="00CD4C7B" w:rsidRDefault="00080512" w:rsidP="00CD4C7B"/>
    <w:sectPr w:rsidR="00080512"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2BF8C" w14:textId="77777777" w:rsidR="00E60D38" w:rsidRDefault="00E60D38">
      <w:r>
        <w:separator/>
      </w:r>
    </w:p>
  </w:endnote>
  <w:endnote w:type="continuationSeparator" w:id="0">
    <w:p w14:paraId="48FBD494" w14:textId="77777777" w:rsidR="00E60D38" w:rsidRDefault="00E6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C8402" w14:textId="77777777" w:rsidR="00E60D38" w:rsidRDefault="00E60D38">
      <w:r>
        <w:separator/>
      </w:r>
    </w:p>
  </w:footnote>
  <w:footnote w:type="continuationSeparator" w:id="0">
    <w:p w14:paraId="64ACAF9A" w14:textId="77777777" w:rsidR="00E60D38" w:rsidRDefault="00E60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30CE"/>
    <w:rsid w:val="000C522B"/>
    <w:rsid w:val="000D58AB"/>
    <w:rsid w:val="00112F1A"/>
    <w:rsid w:val="00145075"/>
    <w:rsid w:val="001741A0"/>
    <w:rsid w:val="00175FA0"/>
    <w:rsid w:val="00177126"/>
    <w:rsid w:val="00194CD0"/>
    <w:rsid w:val="00196A52"/>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330D0"/>
    <w:rsid w:val="00465587"/>
    <w:rsid w:val="00477455"/>
    <w:rsid w:val="004A1F7B"/>
    <w:rsid w:val="004C44D2"/>
    <w:rsid w:val="004D3578"/>
    <w:rsid w:val="004D380D"/>
    <w:rsid w:val="004E213A"/>
    <w:rsid w:val="00503171"/>
    <w:rsid w:val="00506C28"/>
    <w:rsid w:val="00534DA0"/>
    <w:rsid w:val="00543E6C"/>
    <w:rsid w:val="00565087"/>
    <w:rsid w:val="0056573F"/>
    <w:rsid w:val="005E5BA3"/>
    <w:rsid w:val="00611566"/>
    <w:rsid w:val="00646D99"/>
    <w:rsid w:val="00656910"/>
    <w:rsid w:val="006A6F45"/>
    <w:rsid w:val="006C66D8"/>
    <w:rsid w:val="006D1B7B"/>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634C2"/>
    <w:rsid w:val="008768CA"/>
    <w:rsid w:val="00877EF9"/>
    <w:rsid w:val="00880559"/>
    <w:rsid w:val="008B5306"/>
    <w:rsid w:val="008D2E4D"/>
    <w:rsid w:val="008F396F"/>
    <w:rsid w:val="0090271F"/>
    <w:rsid w:val="00902DB9"/>
    <w:rsid w:val="0090466A"/>
    <w:rsid w:val="00934F66"/>
    <w:rsid w:val="00936071"/>
    <w:rsid w:val="00940212"/>
    <w:rsid w:val="00942EC2"/>
    <w:rsid w:val="00961B32"/>
    <w:rsid w:val="00962509"/>
    <w:rsid w:val="00970DB3"/>
    <w:rsid w:val="00974BB0"/>
    <w:rsid w:val="009A0AF3"/>
    <w:rsid w:val="009B07CD"/>
    <w:rsid w:val="009C19E9"/>
    <w:rsid w:val="009D74A6"/>
    <w:rsid w:val="00A02BA6"/>
    <w:rsid w:val="00A10F02"/>
    <w:rsid w:val="00A204CA"/>
    <w:rsid w:val="00A53724"/>
    <w:rsid w:val="00A82346"/>
    <w:rsid w:val="00A9671C"/>
    <w:rsid w:val="00AA1553"/>
    <w:rsid w:val="00AD479A"/>
    <w:rsid w:val="00B05380"/>
    <w:rsid w:val="00B05962"/>
    <w:rsid w:val="00B15449"/>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1C77"/>
    <w:rsid w:val="00D738D6"/>
    <w:rsid w:val="00D80795"/>
    <w:rsid w:val="00D854BE"/>
    <w:rsid w:val="00D87E00"/>
    <w:rsid w:val="00D9134D"/>
    <w:rsid w:val="00D96D11"/>
    <w:rsid w:val="00DA7A03"/>
    <w:rsid w:val="00DB0DB8"/>
    <w:rsid w:val="00DB1818"/>
    <w:rsid w:val="00DC309B"/>
    <w:rsid w:val="00DC4DA2"/>
    <w:rsid w:val="00E46C08"/>
    <w:rsid w:val="00E471CF"/>
    <w:rsid w:val="00E60D38"/>
    <w:rsid w:val="00E62835"/>
    <w:rsid w:val="00E77645"/>
    <w:rsid w:val="00E83697"/>
    <w:rsid w:val="00EC4A25"/>
    <w:rsid w:val="00EC550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D345FDD-AF1E-4E77-935F-1A9B85F3F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17712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771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77126"/>
    <w:rPr>
      <w:rFonts w:ascii="Arial" w:eastAsia="MS Mincho" w:hAnsi="Arial"/>
      <w:szCs w:val="24"/>
    </w:rPr>
  </w:style>
  <w:style w:type="character" w:customStyle="1" w:styleId="Doc-titleChar">
    <w:name w:val="Doc-title Char"/>
    <w:link w:val="Doc-title"/>
    <w:rsid w:val="00177126"/>
    <w:rPr>
      <w:rFonts w:ascii="Arial" w:eastAsia="MS Mincho" w:hAnsi="Arial"/>
      <w:noProof/>
      <w:szCs w:val="24"/>
    </w:rPr>
  </w:style>
  <w:style w:type="character" w:styleId="UnresolvedMention">
    <w:name w:val="Unresolved Mention"/>
    <w:basedOn w:val="DefaultParagraphFont"/>
    <w:rsid w:val="00177126"/>
    <w:rPr>
      <w:color w:val="808080"/>
      <w:shd w:val="clear" w:color="auto" w:fill="E6E6E6"/>
    </w:rPr>
  </w:style>
  <w:style w:type="character" w:customStyle="1" w:styleId="THChar">
    <w:name w:val="TH Char"/>
    <w:link w:val="TH"/>
    <w:rsid w:val="00177126"/>
    <w:rPr>
      <w:rFonts w:ascii="Arial" w:hAnsi="Arial"/>
      <w:b/>
      <w:lang w:eastAsia="en-US"/>
    </w:rPr>
  </w:style>
  <w:style w:type="character" w:customStyle="1" w:styleId="TFChar">
    <w:name w:val="TF Char"/>
    <w:link w:val="TF"/>
    <w:rsid w:val="00177126"/>
    <w:rPr>
      <w:rFonts w:ascii="Arial" w:hAnsi="Arial"/>
      <w:b/>
      <w:lang w:eastAsia="en-US"/>
    </w:rPr>
  </w:style>
  <w:style w:type="table" w:styleId="TableGrid">
    <w:name w:val="Table Grid"/>
    <w:basedOn w:val="TableNormal"/>
    <w:rsid w:val="00A02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5B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19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tsg_ran/WG2_RL2/TSGR2_100/Docs/R2-1712830.zip" TargetMode="External"/><Relationship Id="rId17" Type="http://schemas.openxmlformats.org/officeDocument/2006/relationships/hyperlink" Target="https://portal.3gpp.org/desktopmodules/Specifications/SpecificationDetails.aspx?specificationId=3194"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19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88</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Turtinen, Samuli (Nokia - FI/Oulu)</cp:lastModifiedBy>
  <cp:revision>8</cp:revision>
  <dcterms:created xsi:type="dcterms:W3CDTF">2016-08-12T03:53:00Z</dcterms:created>
  <dcterms:modified xsi:type="dcterms:W3CDTF">2019-02-14T12:51:00Z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